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EA" w:rsidP="00BA303E" w:rsidRDefault="2B1FD1D5" w14:paraId="2C078E63" w14:textId="681D9FE4">
      <w:pPr>
        <w:jc w:val="center"/>
      </w:pPr>
      <w:r w:rsidRPr="2D1FDF80">
        <w:rPr>
          <w:b/>
          <w:bCs/>
        </w:rPr>
        <w:t>Business Pollution Program</w:t>
      </w:r>
    </w:p>
    <w:p w:rsidR="2B1FD1D5" w:rsidP="2D1FDF80" w:rsidRDefault="2B1FD1D5" w14:paraId="60BBD957" w14:textId="3AFD1232">
      <w:pPr>
        <w:jc w:val="center"/>
        <w:rPr>
          <w:b/>
          <w:bCs/>
        </w:rPr>
      </w:pPr>
      <w:r w:rsidRPr="2D1FDF80">
        <w:rPr>
          <w:b/>
          <w:bCs/>
        </w:rPr>
        <w:t>Explanation of Match Requirements</w:t>
      </w:r>
    </w:p>
    <w:p w:rsidR="0D776C60" w:rsidP="27FE4E76" w:rsidRDefault="0D776C60" w14:paraId="5A54466F" w14:textId="295453CE">
      <w:r w:rsidRPr="27FE4E76">
        <w:rPr>
          <w:rFonts w:ascii="Calibri" w:hAnsi="Calibri" w:eastAsia="Calibri" w:cs="Calibri"/>
        </w:rPr>
        <w:t>Businesses participating in the Business Pollution Prevention Program are required to provide matching funds, and the match amounts and sources depend on the priority tier of project based on proposed replacement technolog</w:t>
      </w:r>
      <w:r w:rsidRPr="27FE4E76" w:rsidR="1440B12E">
        <w:rPr>
          <w:rFonts w:ascii="Calibri" w:hAnsi="Calibri" w:eastAsia="Calibri" w:cs="Calibri"/>
        </w:rPr>
        <w:t>y and materials</w:t>
      </w:r>
      <w:r w:rsidRPr="27FE4E76">
        <w:rPr>
          <w:rFonts w:ascii="Calibri" w:hAnsi="Calibri" w:eastAsia="Calibri" w:cs="Calibri"/>
        </w:rPr>
        <w:t>. Here are the different requirements for matching:</w:t>
      </w:r>
    </w:p>
    <w:p w:rsidR="5EB67923" w:rsidP="14CD796A" w:rsidRDefault="5EB67923" w14:paraId="6656ABC2" w14:textId="0803592C">
      <w:pPr>
        <w:pStyle w:val="ListParagraph"/>
        <w:numPr>
          <w:ilvl w:val="0"/>
          <w:numId w:val="3"/>
        </w:numPr>
        <w:rPr>
          <w:rFonts w:eastAsia="" w:eastAsiaTheme="minorEastAsia"/>
        </w:rPr>
      </w:pPr>
      <w:r w:rsidRPr="2F2177D3" w:rsidR="5EB67923">
        <w:rPr>
          <w:rFonts w:ascii="Calibri" w:hAnsi="Calibri" w:eastAsia="Calibri" w:cs="Calibri"/>
        </w:rPr>
        <w:t xml:space="preserve">Under the Pandemic Relief Incentive (effective through </w:t>
      </w:r>
      <w:r w:rsidRPr="2F2177D3" w:rsidR="5EB67923">
        <w:rPr>
          <w:rFonts w:ascii="Calibri" w:hAnsi="Calibri" w:eastAsia="Calibri" w:cs="Calibri"/>
        </w:rPr>
        <w:t>June 2022)</w:t>
      </w:r>
      <w:r w:rsidRPr="2F2177D3" w:rsidR="5EB67923">
        <w:rPr>
          <w:rFonts w:ascii="Calibri" w:hAnsi="Calibri" w:eastAsia="Calibri" w:cs="Calibri"/>
        </w:rPr>
        <w:t>:</w:t>
      </w:r>
    </w:p>
    <w:p w:rsidR="5EB67923" w:rsidP="27FE4E76" w:rsidRDefault="5EB67923" w14:paraId="4CE8628C" w14:textId="4B13599E">
      <w:pPr>
        <w:pStyle w:val="ListParagraph"/>
        <w:numPr>
          <w:ilvl w:val="1"/>
          <w:numId w:val="2"/>
        </w:numPr>
        <w:rPr>
          <w:rFonts w:eastAsiaTheme="minorEastAsia"/>
        </w:rPr>
      </w:pPr>
      <w:r w:rsidRPr="27FE4E76">
        <w:rPr>
          <w:rFonts w:ascii="Calibri" w:hAnsi="Calibri" w:eastAsia="Calibri" w:cs="Calibri"/>
        </w:rPr>
        <w:t xml:space="preserve">Tier 1 (top priority projects, most preferred technology/materials): </w:t>
      </w:r>
    </w:p>
    <w:p w:rsidR="5EB67923" w:rsidP="27FE4E76" w:rsidRDefault="5EB67923" w14:paraId="54C5203A" w14:textId="002E7F10">
      <w:pPr>
        <w:pStyle w:val="ListParagraph"/>
        <w:numPr>
          <w:ilvl w:val="2"/>
          <w:numId w:val="1"/>
        </w:numPr>
        <w:rPr>
          <w:rFonts w:eastAsiaTheme="minorEastAsia"/>
        </w:rPr>
      </w:pPr>
      <w:r w:rsidRPr="27FE4E76">
        <w:rPr>
          <w:rFonts w:ascii="Calibri" w:hAnsi="Calibri" w:eastAsia="Calibri" w:cs="Calibri"/>
        </w:rPr>
        <w:t>Businesses receive up to 75% funding through BPP (up to $50,000)</w:t>
      </w:r>
    </w:p>
    <w:p w:rsidR="5EB67923" w:rsidP="27FE4E76" w:rsidRDefault="5EB67923" w14:paraId="1C0CEE4E" w14:textId="0AB3BD04">
      <w:pPr>
        <w:pStyle w:val="ListParagraph"/>
        <w:numPr>
          <w:ilvl w:val="2"/>
          <w:numId w:val="1"/>
        </w:numPr>
        <w:rPr>
          <w:rFonts w:eastAsiaTheme="minorEastAsia"/>
        </w:rPr>
      </w:pPr>
      <w:r w:rsidRPr="27FE4E76">
        <w:rPr>
          <w:rFonts w:ascii="Calibri" w:hAnsi="Calibri" w:eastAsia="Calibri" w:cs="Calibri"/>
        </w:rPr>
        <w:t>25% matching funds from any other source, which can include loans, business cash resources, non-BPP grants and financial assistance (may result in no out-of-pocket costs for the business)</w:t>
      </w:r>
    </w:p>
    <w:p w:rsidR="5EB67923" w:rsidP="27FE4E76" w:rsidRDefault="5EB67923" w14:paraId="207634A1" w14:textId="5F17E465">
      <w:pPr>
        <w:pStyle w:val="ListParagraph"/>
        <w:numPr>
          <w:ilvl w:val="1"/>
          <w:numId w:val="2"/>
        </w:numPr>
        <w:rPr>
          <w:rFonts w:eastAsiaTheme="minorEastAsia"/>
        </w:rPr>
      </w:pPr>
      <w:r w:rsidRPr="27FE4E76">
        <w:rPr>
          <w:rFonts w:ascii="Calibri" w:hAnsi="Calibri" w:eastAsia="Calibri" w:cs="Calibri"/>
        </w:rPr>
        <w:t xml:space="preserve">Tier 2 (lower priority projects, less preferred technology/materials):  </w:t>
      </w:r>
    </w:p>
    <w:p w:rsidR="5EB67923" w:rsidP="27FE4E76" w:rsidRDefault="5EB67923" w14:paraId="3BFF25C4" w14:textId="3E6357AC">
      <w:pPr>
        <w:pStyle w:val="ListParagraph"/>
        <w:numPr>
          <w:ilvl w:val="2"/>
          <w:numId w:val="1"/>
        </w:numPr>
        <w:rPr>
          <w:rFonts w:eastAsiaTheme="minorEastAsia"/>
        </w:rPr>
      </w:pPr>
      <w:r w:rsidRPr="27FE4E76">
        <w:rPr>
          <w:rFonts w:ascii="Calibri" w:hAnsi="Calibri" w:eastAsia="Calibri" w:cs="Calibri"/>
        </w:rPr>
        <w:t>Businesses receive up to 60% funding through BPP (up to $50,000)</w:t>
      </w:r>
    </w:p>
    <w:p w:rsidR="5EB67923" w:rsidP="27FE4E76" w:rsidRDefault="5EB67923" w14:paraId="6B245AAF" w14:textId="6BFD8037">
      <w:pPr>
        <w:pStyle w:val="ListParagraph"/>
        <w:numPr>
          <w:ilvl w:val="2"/>
          <w:numId w:val="1"/>
        </w:numPr>
        <w:rPr>
          <w:rFonts w:eastAsiaTheme="minorEastAsia"/>
        </w:rPr>
      </w:pPr>
      <w:r w:rsidRPr="27FE4E76">
        <w:rPr>
          <w:rFonts w:ascii="Calibri" w:hAnsi="Calibri" w:eastAsia="Calibri" w:cs="Calibri"/>
        </w:rPr>
        <w:t>40% matching funds from any other source</w:t>
      </w:r>
    </w:p>
    <w:p w:rsidR="5EB67923" w:rsidP="27FE4E76" w:rsidRDefault="5EB67923" w14:paraId="638259DF" w14:textId="5D8DD385">
      <w:pPr>
        <w:pStyle w:val="ListParagraph"/>
        <w:numPr>
          <w:ilvl w:val="3"/>
          <w:numId w:val="3"/>
        </w:numPr>
        <w:rPr>
          <w:rFonts w:eastAsiaTheme="minorEastAsia"/>
        </w:rPr>
      </w:pPr>
      <w:r w:rsidRPr="27FE4E76">
        <w:rPr>
          <w:rFonts w:ascii="Calibri" w:hAnsi="Calibri" w:eastAsia="Calibri" w:cs="Calibri"/>
        </w:rPr>
        <w:t xml:space="preserve">At least 5% is business responsibility, such as loans or business cash resources </w:t>
      </w:r>
    </w:p>
    <w:p w:rsidR="5EB67923" w:rsidP="27FE4E76" w:rsidRDefault="5EB67923" w14:paraId="2D647940" w14:textId="673058CB">
      <w:pPr>
        <w:pStyle w:val="ListParagraph"/>
        <w:numPr>
          <w:ilvl w:val="3"/>
          <w:numId w:val="3"/>
        </w:numPr>
        <w:rPr>
          <w:rFonts w:eastAsiaTheme="minorEastAsia"/>
        </w:rPr>
      </w:pPr>
      <w:r w:rsidRPr="27FE4E76">
        <w:rPr>
          <w:rFonts w:ascii="Calibri" w:hAnsi="Calibri" w:eastAsia="Calibri" w:cs="Calibri"/>
        </w:rPr>
        <w:t>No more than 35% can be covered by other resources, such as non-BPP grants and financial assistance</w:t>
      </w:r>
      <w:r>
        <w:br/>
      </w:r>
    </w:p>
    <w:p w:rsidR="0D776C60" w:rsidP="27FE4E76" w:rsidRDefault="0D776C60" w14:paraId="03623950" w14:textId="7C6393E0">
      <w:pPr>
        <w:pStyle w:val="ListParagraph"/>
        <w:numPr>
          <w:ilvl w:val="0"/>
          <w:numId w:val="3"/>
        </w:numPr>
        <w:rPr>
          <w:rFonts w:eastAsiaTheme="minorEastAsia"/>
        </w:rPr>
      </w:pPr>
      <w:r w:rsidRPr="27FE4E76">
        <w:rPr>
          <w:rFonts w:ascii="Calibri" w:hAnsi="Calibri" w:eastAsia="Calibri" w:cs="Calibri"/>
        </w:rPr>
        <w:t xml:space="preserve">Under the regular BPP program: </w:t>
      </w:r>
    </w:p>
    <w:p w:rsidR="0D776C60" w:rsidP="27FE4E76" w:rsidRDefault="0D776C60" w14:paraId="54D7E050" w14:textId="28DC2130">
      <w:pPr>
        <w:pStyle w:val="ListParagraph"/>
        <w:numPr>
          <w:ilvl w:val="1"/>
          <w:numId w:val="2"/>
        </w:numPr>
        <w:rPr>
          <w:rFonts w:eastAsiaTheme="minorEastAsia"/>
        </w:rPr>
      </w:pPr>
      <w:r w:rsidRPr="27FE4E76">
        <w:rPr>
          <w:rFonts w:ascii="Calibri" w:hAnsi="Calibri" w:eastAsia="Calibri" w:cs="Calibri"/>
        </w:rPr>
        <w:t xml:space="preserve">Tier 1 (top priority projects, most preferred technology/materials): </w:t>
      </w:r>
    </w:p>
    <w:p w:rsidR="0D776C60" w:rsidP="27FE4E76" w:rsidRDefault="0D776C60" w14:paraId="388D9925" w14:textId="02324CD2">
      <w:pPr>
        <w:pStyle w:val="ListParagraph"/>
        <w:numPr>
          <w:ilvl w:val="2"/>
          <w:numId w:val="1"/>
        </w:numPr>
        <w:rPr>
          <w:rFonts w:eastAsiaTheme="minorEastAsia"/>
        </w:rPr>
      </w:pPr>
      <w:r w:rsidRPr="27FE4E76">
        <w:rPr>
          <w:rFonts w:ascii="Calibri" w:hAnsi="Calibri" w:eastAsia="Calibri" w:cs="Calibri"/>
        </w:rPr>
        <w:t>Businesses receive 50% of funding through BPP (up to $50,000)</w:t>
      </w:r>
    </w:p>
    <w:p w:rsidR="0D776C60" w:rsidP="27FE4E76" w:rsidRDefault="0D776C60" w14:paraId="07C5C865" w14:textId="2E14A2CC">
      <w:pPr>
        <w:pStyle w:val="ListParagraph"/>
        <w:numPr>
          <w:ilvl w:val="2"/>
          <w:numId w:val="1"/>
        </w:numPr>
        <w:rPr>
          <w:rFonts w:eastAsiaTheme="minorEastAsia"/>
        </w:rPr>
      </w:pPr>
      <w:r w:rsidRPr="27FE4E76">
        <w:rPr>
          <w:rFonts w:ascii="Calibri" w:hAnsi="Calibri" w:eastAsia="Calibri" w:cs="Calibri"/>
        </w:rPr>
        <w:t>50% matching funds</w:t>
      </w:r>
    </w:p>
    <w:p w:rsidR="0D776C60" w:rsidP="27FE4E76" w:rsidRDefault="0D776C60" w14:paraId="482BE491" w14:textId="7447A2B8">
      <w:pPr>
        <w:pStyle w:val="ListParagraph"/>
        <w:numPr>
          <w:ilvl w:val="3"/>
          <w:numId w:val="3"/>
        </w:numPr>
        <w:rPr>
          <w:rFonts w:eastAsiaTheme="minorEastAsia"/>
        </w:rPr>
      </w:pPr>
      <w:r w:rsidRPr="27FE4E76">
        <w:rPr>
          <w:rFonts w:ascii="Calibri" w:hAnsi="Calibri" w:eastAsia="Calibri" w:cs="Calibri"/>
        </w:rPr>
        <w:t>At least 25% is business responsibility, such as loans or business cash resources</w:t>
      </w:r>
    </w:p>
    <w:p w:rsidR="0D776C60" w:rsidP="27FE4E76" w:rsidRDefault="0D776C60" w14:paraId="5B372A25" w14:textId="05888AAF">
      <w:pPr>
        <w:pStyle w:val="ListParagraph"/>
        <w:numPr>
          <w:ilvl w:val="3"/>
          <w:numId w:val="3"/>
        </w:numPr>
        <w:rPr>
          <w:rFonts w:eastAsiaTheme="minorEastAsia"/>
        </w:rPr>
      </w:pPr>
      <w:r w:rsidRPr="27FE4E76">
        <w:rPr>
          <w:rFonts w:ascii="Calibri" w:hAnsi="Calibri" w:eastAsia="Calibri" w:cs="Calibri"/>
        </w:rPr>
        <w:t>No more than 25% can be covered by other resources, such as non-BPP grants and financial assistance</w:t>
      </w:r>
    </w:p>
    <w:p w:rsidR="0D776C60" w:rsidP="27FE4E76" w:rsidRDefault="0D776C60" w14:paraId="21BD2F0D" w14:textId="6AA94CD3">
      <w:pPr>
        <w:pStyle w:val="ListParagraph"/>
        <w:numPr>
          <w:ilvl w:val="1"/>
          <w:numId w:val="2"/>
        </w:numPr>
        <w:rPr>
          <w:rFonts w:eastAsiaTheme="minorEastAsia"/>
        </w:rPr>
      </w:pPr>
      <w:r w:rsidRPr="27FE4E76">
        <w:rPr>
          <w:rFonts w:ascii="Calibri" w:hAnsi="Calibri" w:eastAsia="Calibri" w:cs="Calibri"/>
        </w:rPr>
        <w:t xml:space="preserve">Tier 2 (lower priority projects, less preferred technology/materials): </w:t>
      </w:r>
    </w:p>
    <w:p w:rsidR="0D776C60" w:rsidP="27FE4E76" w:rsidRDefault="0D776C60" w14:paraId="0359FDC2" w14:textId="6C920D80">
      <w:pPr>
        <w:pStyle w:val="ListParagraph"/>
        <w:numPr>
          <w:ilvl w:val="2"/>
          <w:numId w:val="1"/>
        </w:numPr>
        <w:rPr>
          <w:rFonts w:eastAsiaTheme="minorEastAsia"/>
        </w:rPr>
      </w:pPr>
      <w:r w:rsidRPr="27FE4E76">
        <w:rPr>
          <w:rFonts w:ascii="Calibri" w:hAnsi="Calibri" w:eastAsia="Calibri" w:cs="Calibri"/>
        </w:rPr>
        <w:t>Businesses receive 40% of funding through BPP (up to $50,000)</w:t>
      </w:r>
    </w:p>
    <w:p w:rsidR="0D776C60" w:rsidP="27FE4E76" w:rsidRDefault="0D776C60" w14:paraId="3E454E25" w14:textId="3E09134A">
      <w:pPr>
        <w:pStyle w:val="ListParagraph"/>
        <w:numPr>
          <w:ilvl w:val="2"/>
          <w:numId w:val="1"/>
        </w:numPr>
        <w:rPr>
          <w:rFonts w:eastAsiaTheme="minorEastAsia"/>
        </w:rPr>
      </w:pPr>
      <w:r w:rsidRPr="27FE4E76">
        <w:rPr>
          <w:rFonts w:ascii="Calibri" w:hAnsi="Calibri" w:eastAsia="Calibri" w:cs="Calibri"/>
        </w:rPr>
        <w:t>60% matching funds</w:t>
      </w:r>
    </w:p>
    <w:p w:rsidR="0D776C60" w:rsidP="27FE4E76" w:rsidRDefault="0D776C60" w14:paraId="5EDCB712" w14:textId="3B1C3940">
      <w:pPr>
        <w:pStyle w:val="ListParagraph"/>
        <w:numPr>
          <w:ilvl w:val="3"/>
          <w:numId w:val="3"/>
        </w:numPr>
        <w:rPr>
          <w:rFonts w:eastAsiaTheme="minorEastAsia"/>
        </w:rPr>
      </w:pPr>
      <w:r w:rsidRPr="27FE4E76">
        <w:rPr>
          <w:rFonts w:ascii="Calibri" w:hAnsi="Calibri" w:eastAsia="Calibri" w:cs="Calibri"/>
        </w:rPr>
        <w:t xml:space="preserve">At least 25% is business responsibility, such as loans or business cash resources </w:t>
      </w:r>
    </w:p>
    <w:p w:rsidR="0D776C60" w:rsidP="27FE4E76" w:rsidRDefault="0D776C60" w14:paraId="65C4113D" w14:textId="666FA500">
      <w:pPr>
        <w:pStyle w:val="ListParagraph"/>
        <w:numPr>
          <w:ilvl w:val="3"/>
          <w:numId w:val="3"/>
        </w:numPr>
        <w:rPr>
          <w:rFonts w:eastAsiaTheme="minorEastAsia"/>
        </w:rPr>
      </w:pPr>
      <w:r w:rsidRPr="27FE4E76">
        <w:rPr>
          <w:rFonts w:ascii="Calibri" w:hAnsi="Calibri" w:eastAsia="Calibri" w:cs="Calibri"/>
        </w:rPr>
        <w:t xml:space="preserve">No more than 35% can be covered by other resources, such as non-BPP grants and financial assistance </w:t>
      </w:r>
    </w:p>
    <w:p w:rsidR="27FE4E76" w:rsidP="27FE4E76" w:rsidRDefault="27FE4E76" w14:paraId="3D93834C" w14:textId="23F0F5F3">
      <w:pPr>
        <w:rPr>
          <w:b/>
          <w:bCs/>
        </w:rPr>
      </w:pPr>
    </w:p>
    <w:p w:rsidR="2D1FDF80" w:rsidP="008A5E05" w:rsidRDefault="2D1FDF80" w14:paraId="79F95443" w14:textId="6C8B43A5">
      <w:pPr>
        <w:rPr>
          <w:b/>
          <w:bCs/>
        </w:rPr>
      </w:pPr>
    </w:p>
    <w:p w:rsidR="007701DB" w:rsidP="008A5E05" w:rsidRDefault="007701DB" w14:paraId="35AEF4AD" w14:textId="77777777">
      <w:pPr>
        <w:rPr>
          <w:b/>
          <w:bCs/>
        </w:rPr>
      </w:pPr>
    </w:p>
    <w:sectPr w:rsidR="007701DB" w:rsidSect="008A5E05">
      <w:headerReference w:type="default" r:id="rId10"/>
      <w:pgSz w:w="12240" w:h="15840" w:orient="portrait"/>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88" w:rsidP="00BA303E" w:rsidRDefault="00720788" w14:paraId="26E9C5B6" w14:textId="77777777">
      <w:pPr>
        <w:spacing w:after="0" w:line="240" w:lineRule="auto"/>
      </w:pPr>
      <w:r>
        <w:separator/>
      </w:r>
    </w:p>
  </w:endnote>
  <w:endnote w:type="continuationSeparator" w:id="0">
    <w:p w:rsidR="00720788" w:rsidP="00BA303E" w:rsidRDefault="00720788" w14:paraId="0828690C" w14:textId="77777777">
      <w:pPr>
        <w:spacing w:after="0" w:line="240" w:lineRule="auto"/>
      </w:pPr>
      <w:r>
        <w:continuationSeparator/>
      </w:r>
    </w:p>
  </w:endnote>
  <w:endnote w:type="continuationNotice" w:id="1">
    <w:p w:rsidR="00720788" w:rsidRDefault="00720788" w14:paraId="2B7BEC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88" w:rsidP="00BA303E" w:rsidRDefault="00720788" w14:paraId="17096B1D" w14:textId="77777777">
      <w:pPr>
        <w:spacing w:after="0" w:line="240" w:lineRule="auto"/>
      </w:pPr>
      <w:r>
        <w:separator/>
      </w:r>
    </w:p>
  </w:footnote>
  <w:footnote w:type="continuationSeparator" w:id="0">
    <w:p w:rsidR="00720788" w:rsidP="00BA303E" w:rsidRDefault="00720788" w14:paraId="5A6D011A" w14:textId="77777777">
      <w:pPr>
        <w:spacing w:after="0" w:line="240" w:lineRule="auto"/>
      </w:pPr>
      <w:r>
        <w:continuationSeparator/>
      </w:r>
    </w:p>
  </w:footnote>
  <w:footnote w:type="continuationNotice" w:id="1">
    <w:p w:rsidR="00720788" w:rsidRDefault="00720788" w14:paraId="25FF21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4A0" w:firstRow="1" w:lastRow="0" w:firstColumn="1" w:lastColumn="0" w:noHBand="0" w:noVBand="1"/>
    </w:tblPr>
    <w:tblGrid>
      <w:gridCol w:w="3120"/>
    </w:tblGrid>
    <w:tr w:rsidR="008A5E05" w:rsidTr="00E9532A" w14:paraId="576B1F59" w14:textId="77777777">
      <w:tc>
        <w:tcPr>
          <w:tcW w:w="3120" w:type="dxa"/>
        </w:tcPr>
        <w:p w:rsidR="008A5E05" w:rsidP="008A5E05" w:rsidRDefault="008A5E05" w14:paraId="6C42BFBB" w14:textId="1674B07B">
          <w:pPr>
            <w:pStyle w:val="Header"/>
            <w:tabs>
              <w:tab w:val="clear" w:pos="4680"/>
              <w:tab w:val="clear" w:pos="9360"/>
              <w:tab w:val="left" w:pos="1961"/>
            </w:tabs>
          </w:pPr>
        </w:p>
      </w:tc>
    </w:tr>
  </w:tbl>
  <w:p w:rsidR="00BA303E" w:rsidP="00BA303E" w:rsidRDefault="27FE4E76" w14:paraId="439E8CCC" w14:textId="334EAD1D">
    <w:pPr>
      <w:pStyle w:val="Header"/>
      <w:jc w:val="center"/>
    </w:pPr>
    <w:r>
      <w:rPr>
        <w:noProof/>
      </w:rPr>
      <w:drawing>
        <wp:inline distT="0" distB="0" distL="0" distR="0" wp14:anchorId="348C446E" wp14:editId="16328E43">
          <wp:extent cx="1125416" cy="1034778"/>
          <wp:effectExtent l="0" t="0" r="0" b="0"/>
          <wp:docPr id="1978250997" name="Picture 67414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148517"/>
                  <pic:cNvPicPr/>
                </pic:nvPicPr>
                <pic:blipFill>
                  <a:blip r:embed="rId1">
                    <a:extLst>
                      <a:ext uri="{28A0092B-C50C-407E-A947-70E740481C1C}">
                        <a14:useLocalDpi xmlns:a14="http://schemas.microsoft.com/office/drawing/2010/main" val="0"/>
                      </a:ext>
                    </a:extLst>
                  </a:blip>
                  <a:stretch>
                    <a:fillRect/>
                  </a:stretch>
                </pic:blipFill>
                <pic:spPr>
                  <a:xfrm>
                    <a:off x="0" y="0"/>
                    <a:ext cx="1125416" cy="1034778"/>
                  </a:xfrm>
                  <a:prstGeom prst="rect">
                    <a:avLst/>
                  </a:prstGeom>
                </pic:spPr>
              </pic:pic>
            </a:graphicData>
          </a:graphic>
        </wp:inline>
      </w:drawing>
    </w:r>
    <w:r w:rsidR="00BA303E">
      <w:t xml:space="preserve">    </w:t>
    </w:r>
    <w:r w:rsidR="00BF3144">
      <w:rPr>
        <w:noProof/>
      </w:rPr>
      <w:drawing>
        <wp:inline distT="0" distB="0" distL="0" distR="0" wp14:anchorId="6C540587" wp14:editId="23AE324C">
          <wp:extent cx="1807698" cy="373901"/>
          <wp:effectExtent l="0" t="0" r="2540" b="762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 Logo.png"/>
                  <pic:cNvPicPr/>
                </pic:nvPicPr>
                <pic:blipFill>
                  <a:blip r:embed="rId2">
                    <a:extLst>
                      <a:ext uri="{28A0092B-C50C-407E-A947-70E740481C1C}">
                        <a14:useLocalDpi xmlns:a14="http://schemas.microsoft.com/office/drawing/2010/main" val="0"/>
                      </a:ext>
                    </a:extLst>
                  </a:blip>
                  <a:stretch>
                    <a:fillRect/>
                  </a:stretch>
                </pic:blipFill>
                <pic:spPr>
                  <a:xfrm>
                    <a:off x="0" y="0"/>
                    <a:ext cx="1971281" cy="407736"/>
                  </a:xfrm>
                  <a:prstGeom prst="rect">
                    <a:avLst/>
                  </a:prstGeom>
                </pic:spPr>
              </pic:pic>
            </a:graphicData>
          </a:graphic>
        </wp:inline>
      </w:drawing>
    </w:r>
    <w:bookmarkStart w:name="_GoBack" w:id="0"/>
    <w:bookmarkEnd w:id="0"/>
  </w:p>
  <w:p w:rsidR="00BA303E" w:rsidRDefault="00BA303E" w14:paraId="47758B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1266"/>
    <w:multiLevelType w:val="hybridMultilevel"/>
    <w:tmpl w:val="F050F7DC"/>
    <w:lvl w:ilvl="0" w:tplc="71B812E6">
      <w:start w:val="1"/>
      <w:numFmt w:val="bullet"/>
      <w:lvlText w:val=""/>
      <w:lvlJc w:val="left"/>
      <w:pPr>
        <w:ind w:left="720" w:hanging="360"/>
      </w:pPr>
      <w:rPr>
        <w:rFonts w:hint="default" w:ascii="Symbol" w:hAnsi="Symbol"/>
      </w:rPr>
    </w:lvl>
    <w:lvl w:ilvl="1" w:tplc="5E28A9BE">
      <w:start w:val="1"/>
      <w:numFmt w:val="bullet"/>
      <w:lvlText w:val="o"/>
      <w:lvlJc w:val="left"/>
      <w:pPr>
        <w:ind w:left="1440" w:hanging="360"/>
      </w:pPr>
      <w:rPr>
        <w:rFonts w:hint="default" w:ascii="Courier New" w:hAnsi="Courier New"/>
      </w:rPr>
    </w:lvl>
    <w:lvl w:ilvl="2" w:tplc="7444EC58">
      <w:start w:val="1"/>
      <w:numFmt w:val="bullet"/>
      <w:lvlText w:val=""/>
      <w:lvlJc w:val="left"/>
      <w:pPr>
        <w:ind w:left="2160" w:hanging="360"/>
      </w:pPr>
      <w:rPr>
        <w:rFonts w:hint="default" w:ascii="Symbol" w:hAnsi="Symbol"/>
      </w:rPr>
    </w:lvl>
    <w:lvl w:ilvl="3" w:tplc="7DC4248E">
      <w:start w:val="1"/>
      <w:numFmt w:val="bullet"/>
      <w:lvlText w:val=""/>
      <w:lvlJc w:val="left"/>
      <w:pPr>
        <w:ind w:left="2880" w:hanging="360"/>
      </w:pPr>
      <w:rPr>
        <w:rFonts w:hint="default" w:ascii="Symbol" w:hAnsi="Symbol"/>
      </w:rPr>
    </w:lvl>
    <w:lvl w:ilvl="4" w:tplc="AE241DDE">
      <w:start w:val="1"/>
      <w:numFmt w:val="bullet"/>
      <w:lvlText w:val="o"/>
      <w:lvlJc w:val="left"/>
      <w:pPr>
        <w:ind w:left="3600" w:hanging="360"/>
      </w:pPr>
      <w:rPr>
        <w:rFonts w:hint="default" w:ascii="Courier New" w:hAnsi="Courier New"/>
      </w:rPr>
    </w:lvl>
    <w:lvl w:ilvl="5" w:tplc="4BB01820">
      <w:start w:val="1"/>
      <w:numFmt w:val="bullet"/>
      <w:lvlText w:val=""/>
      <w:lvlJc w:val="left"/>
      <w:pPr>
        <w:ind w:left="4320" w:hanging="360"/>
      </w:pPr>
      <w:rPr>
        <w:rFonts w:hint="default" w:ascii="Wingdings" w:hAnsi="Wingdings"/>
      </w:rPr>
    </w:lvl>
    <w:lvl w:ilvl="6" w:tplc="0780287C">
      <w:start w:val="1"/>
      <w:numFmt w:val="bullet"/>
      <w:lvlText w:val=""/>
      <w:lvlJc w:val="left"/>
      <w:pPr>
        <w:ind w:left="5040" w:hanging="360"/>
      </w:pPr>
      <w:rPr>
        <w:rFonts w:hint="default" w:ascii="Symbol" w:hAnsi="Symbol"/>
      </w:rPr>
    </w:lvl>
    <w:lvl w:ilvl="7" w:tplc="86EA5332">
      <w:start w:val="1"/>
      <w:numFmt w:val="bullet"/>
      <w:lvlText w:val="o"/>
      <w:lvlJc w:val="left"/>
      <w:pPr>
        <w:ind w:left="5760" w:hanging="360"/>
      </w:pPr>
      <w:rPr>
        <w:rFonts w:hint="default" w:ascii="Courier New" w:hAnsi="Courier New"/>
      </w:rPr>
    </w:lvl>
    <w:lvl w:ilvl="8" w:tplc="FBF8EC70">
      <w:start w:val="1"/>
      <w:numFmt w:val="bullet"/>
      <w:lvlText w:val=""/>
      <w:lvlJc w:val="left"/>
      <w:pPr>
        <w:ind w:left="6480" w:hanging="360"/>
      </w:pPr>
      <w:rPr>
        <w:rFonts w:hint="default" w:ascii="Wingdings" w:hAnsi="Wingdings"/>
      </w:rPr>
    </w:lvl>
  </w:abstractNum>
  <w:abstractNum w:abstractNumId="1" w15:restartNumberingAfterBreak="0">
    <w:nsid w:val="1BAF2F62"/>
    <w:multiLevelType w:val="hybridMultilevel"/>
    <w:tmpl w:val="10AC0206"/>
    <w:lvl w:ilvl="0" w:tplc="EFF89152">
      <w:start w:val="1"/>
      <w:numFmt w:val="bullet"/>
      <w:lvlText w:val=""/>
      <w:lvlJc w:val="left"/>
      <w:pPr>
        <w:ind w:left="720" w:hanging="360"/>
      </w:pPr>
      <w:rPr>
        <w:rFonts w:hint="default" w:ascii="Symbol" w:hAnsi="Symbol"/>
      </w:rPr>
    </w:lvl>
    <w:lvl w:ilvl="1" w:tplc="7D465A8C">
      <w:start w:val="1"/>
      <w:numFmt w:val="bullet"/>
      <w:lvlText w:val=""/>
      <w:lvlJc w:val="left"/>
      <w:pPr>
        <w:ind w:left="1440" w:hanging="360"/>
      </w:pPr>
      <w:rPr>
        <w:rFonts w:hint="default" w:ascii="Symbol" w:hAnsi="Symbol"/>
      </w:rPr>
    </w:lvl>
    <w:lvl w:ilvl="2" w:tplc="05A274DA">
      <w:start w:val="1"/>
      <w:numFmt w:val="bullet"/>
      <w:lvlText w:val=""/>
      <w:lvlJc w:val="left"/>
      <w:pPr>
        <w:ind w:left="2160" w:hanging="360"/>
      </w:pPr>
      <w:rPr>
        <w:rFonts w:hint="default" w:ascii="Wingdings" w:hAnsi="Wingdings"/>
      </w:rPr>
    </w:lvl>
    <w:lvl w:ilvl="3" w:tplc="2D3CA86A">
      <w:start w:val="1"/>
      <w:numFmt w:val="bullet"/>
      <w:lvlText w:val=""/>
      <w:lvlJc w:val="left"/>
      <w:pPr>
        <w:ind w:left="2880" w:hanging="360"/>
      </w:pPr>
      <w:rPr>
        <w:rFonts w:hint="default" w:ascii="Symbol" w:hAnsi="Symbol"/>
      </w:rPr>
    </w:lvl>
    <w:lvl w:ilvl="4" w:tplc="840083F8">
      <w:start w:val="1"/>
      <w:numFmt w:val="bullet"/>
      <w:lvlText w:val="o"/>
      <w:lvlJc w:val="left"/>
      <w:pPr>
        <w:ind w:left="3600" w:hanging="360"/>
      </w:pPr>
      <w:rPr>
        <w:rFonts w:hint="default" w:ascii="Courier New" w:hAnsi="Courier New"/>
      </w:rPr>
    </w:lvl>
    <w:lvl w:ilvl="5" w:tplc="38B2624A">
      <w:start w:val="1"/>
      <w:numFmt w:val="bullet"/>
      <w:lvlText w:val=""/>
      <w:lvlJc w:val="left"/>
      <w:pPr>
        <w:ind w:left="4320" w:hanging="360"/>
      </w:pPr>
      <w:rPr>
        <w:rFonts w:hint="default" w:ascii="Wingdings" w:hAnsi="Wingdings"/>
      </w:rPr>
    </w:lvl>
    <w:lvl w:ilvl="6" w:tplc="3BACC39A">
      <w:start w:val="1"/>
      <w:numFmt w:val="bullet"/>
      <w:lvlText w:val=""/>
      <w:lvlJc w:val="left"/>
      <w:pPr>
        <w:ind w:left="5040" w:hanging="360"/>
      </w:pPr>
      <w:rPr>
        <w:rFonts w:hint="default" w:ascii="Symbol" w:hAnsi="Symbol"/>
      </w:rPr>
    </w:lvl>
    <w:lvl w:ilvl="7" w:tplc="A4E221B6">
      <w:start w:val="1"/>
      <w:numFmt w:val="bullet"/>
      <w:lvlText w:val="o"/>
      <w:lvlJc w:val="left"/>
      <w:pPr>
        <w:ind w:left="5760" w:hanging="360"/>
      </w:pPr>
      <w:rPr>
        <w:rFonts w:hint="default" w:ascii="Courier New" w:hAnsi="Courier New"/>
      </w:rPr>
    </w:lvl>
    <w:lvl w:ilvl="8" w:tplc="92CC3C40">
      <w:start w:val="1"/>
      <w:numFmt w:val="bullet"/>
      <w:lvlText w:val=""/>
      <w:lvlJc w:val="left"/>
      <w:pPr>
        <w:ind w:left="6480" w:hanging="360"/>
      </w:pPr>
      <w:rPr>
        <w:rFonts w:hint="default" w:ascii="Wingdings" w:hAnsi="Wingdings"/>
      </w:rPr>
    </w:lvl>
  </w:abstractNum>
  <w:abstractNum w:abstractNumId="2" w15:restartNumberingAfterBreak="0">
    <w:nsid w:val="67491C35"/>
    <w:multiLevelType w:val="hybridMultilevel"/>
    <w:tmpl w:val="9BE89042"/>
    <w:lvl w:ilvl="0" w:tplc="D794C572">
      <w:start w:val="1"/>
      <w:numFmt w:val="bullet"/>
      <w:lvlText w:val=""/>
      <w:lvlJc w:val="left"/>
      <w:pPr>
        <w:ind w:left="720" w:hanging="360"/>
      </w:pPr>
      <w:rPr>
        <w:rFonts w:hint="default" w:ascii="Symbol" w:hAnsi="Symbol"/>
      </w:rPr>
    </w:lvl>
    <w:lvl w:ilvl="1" w:tplc="30E2C360">
      <w:start w:val="1"/>
      <w:numFmt w:val="bullet"/>
      <w:lvlText w:val="o"/>
      <w:lvlJc w:val="left"/>
      <w:pPr>
        <w:ind w:left="1440" w:hanging="360"/>
      </w:pPr>
      <w:rPr>
        <w:rFonts w:hint="default" w:ascii="Courier New" w:hAnsi="Courier New"/>
      </w:rPr>
    </w:lvl>
    <w:lvl w:ilvl="2" w:tplc="DCC64C04">
      <w:start w:val="1"/>
      <w:numFmt w:val="bullet"/>
      <w:lvlText w:val=""/>
      <w:lvlJc w:val="left"/>
      <w:pPr>
        <w:ind w:left="2160" w:hanging="360"/>
      </w:pPr>
      <w:rPr>
        <w:rFonts w:hint="default" w:ascii="Wingdings" w:hAnsi="Wingdings"/>
      </w:rPr>
    </w:lvl>
    <w:lvl w:ilvl="3" w:tplc="97201E88">
      <w:start w:val="1"/>
      <w:numFmt w:val="bullet"/>
      <w:lvlText w:val=""/>
      <w:lvlJc w:val="left"/>
      <w:pPr>
        <w:ind w:left="2880" w:hanging="360"/>
      </w:pPr>
      <w:rPr>
        <w:rFonts w:hint="default" w:ascii="Symbol" w:hAnsi="Symbol"/>
      </w:rPr>
    </w:lvl>
    <w:lvl w:ilvl="4" w:tplc="B78C1556">
      <w:start w:val="1"/>
      <w:numFmt w:val="bullet"/>
      <w:lvlText w:val="o"/>
      <w:lvlJc w:val="left"/>
      <w:pPr>
        <w:ind w:left="3600" w:hanging="360"/>
      </w:pPr>
      <w:rPr>
        <w:rFonts w:hint="default" w:ascii="Courier New" w:hAnsi="Courier New"/>
      </w:rPr>
    </w:lvl>
    <w:lvl w:ilvl="5" w:tplc="0CAC781C">
      <w:start w:val="1"/>
      <w:numFmt w:val="bullet"/>
      <w:lvlText w:val=""/>
      <w:lvlJc w:val="left"/>
      <w:pPr>
        <w:ind w:left="4320" w:hanging="360"/>
      </w:pPr>
      <w:rPr>
        <w:rFonts w:hint="default" w:ascii="Wingdings" w:hAnsi="Wingdings"/>
      </w:rPr>
    </w:lvl>
    <w:lvl w:ilvl="6" w:tplc="68FE340C">
      <w:start w:val="1"/>
      <w:numFmt w:val="bullet"/>
      <w:lvlText w:val=""/>
      <w:lvlJc w:val="left"/>
      <w:pPr>
        <w:ind w:left="5040" w:hanging="360"/>
      </w:pPr>
      <w:rPr>
        <w:rFonts w:hint="default" w:ascii="Symbol" w:hAnsi="Symbol"/>
      </w:rPr>
    </w:lvl>
    <w:lvl w:ilvl="7" w:tplc="FB7C8194">
      <w:start w:val="1"/>
      <w:numFmt w:val="bullet"/>
      <w:lvlText w:val="o"/>
      <w:lvlJc w:val="left"/>
      <w:pPr>
        <w:ind w:left="5760" w:hanging="360"/>
      </w:pPr>
      <w:rPr>
        <w:rFonts w:hint="default" w:ascii="Courier New" w:hAnsi="Courier New"/>
      </w:rPr>
    </w:lvl>
    <w:lvl w:ilvl="8" w:tplc="AD400038">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7F7CD8"/>
    <w:rsid w:val="00304203"/>
    <w:rsid w:val="00384C42"/>
    <w:rsid w:val="00524FB8"/>
    <w:rsid w:val="006427EA"/>
    <w:rsid w:val="00720788"/>
    <w:rsid w:val="007701DB"/>
    <w:rsid w:val="008A5E05"/>
    <w:rsid w:val="00BA303E"/>
    <w:rsid w:val="00BF3144"/>
    <w:rsid w:val="00F10006"/>
    <w:rsid w:val="0D776C60"/>
    <w:rsid w:val="1440B12E"/>
    <w:rsid w:val="14CD796A"/>
    <w:rsid w:val="27FE4E76"/>
    <w:rsid w:val="2958B026"/>
    <w:rsid w:val="2B1FD1D5"/>
    <w:rsid w:val="2D1FDF80"/>
    <w:rsid w:val="2F2177D3"/>
    <w:rsid w:val="4310CD32"/>
    <w:rsid w:val="527F7CD8"/>
    <w:rsid w:val="589134B6"/>
    <w:rsid w:val="5EB67923"/>
    <w:rsid w:val="62CEE993"/>
    <w:rsid w:val="6B1DC377"/>
    <w:rsid w:val="7299F04B"/>
    <w:rsid w:val="7A8BD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F7CD8"/>
  <w15:chartTrackingRefBased/>
  <w15:docId w15:val="{92AA54EE-9125-45F2-B9A8-6A16F4D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30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303E"/>
  </w:style>
  <w:style w:type="paragraph" w:styleId="Footer">
    <w:name w:val="footer"/>
    <w:basedOn w:val="Normal"/>
    <w:link w:val="FooterChar"/>
    <w:uiPriority w:val="99"/>
    <w:unhideWhenUsed/>
    <w:rsid w:val="00BA30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303E"/>
  </w:style>
  <w:style w:type="paragraph" w:styleId="ListParagraph">
    <w:name w:val="List Paragraph"/>
    <w:basedOn w:val="Normal"/>
    <w:uiPriority w:val="34"/>
    <w:qFormat/>
    <w:rsid w:val="00F1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693AAEFBF2D4C903C50F3AFC1BCC8" ma:contentTypeVersion="14" ma:contentTypeDescription="Create a new document." ma:contentTypeScope="" ma:versionID="e220cc88e3dec3cb0f8c033fbc4230f5">
  <xsd:schema xmlns:xsd="http://www.w3.org/2001/XMLSchema" xmlns:xs="http://www.w3.org/2001/XMLSchema" xmlns:p="http://schemas.microsoft.com/office/2006/metadata/properties" xmlns:ns2="87443538-6511-4e90-b73c-585242234f5f" xmlns:ns3="ca4d0c49-a57d-4252-8506-276f136c098b" targetNamespace="http://schemas.microsoft.com/office/2006/metadata/properties" ma:root="true" ma:fieldsID="9cacb64c7b64725fb288bacd619bfc1b" ns2:_="" ns3:_="">
    <xsd:import namespace="87443538-6511-4e90-b73c-585242234f5f"/>
    <xsd:import namespace="ca4d0c49-a57d-4252-8506-276f136c09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3538-6511-4e90-b73c-58524223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d0c49-a57d-4252-8506-276f136c09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3A293-252E-4130-8D42-B6D1B5125506}"/>
</file>

<file path=customXml/itemProps2.xml><?xml version="1.0" encoding="utf-8"?>
<ds:datastoreItem xmlns:ds="http://schemas.openxmlformats.org/officeDocument/2006/customXml" ds:itemID="{F87213E9-4E8F-400F-98AA-CB0457E20640}">
  <ds:schemaRefs>
    <ds:schemaRef ds:uri="http://schemas.microsoft.com/sharepoint/v3/contenttype/forms"/>
  </ds:schemaRefs>
</ds:datastoreItem>
</file>

<file path=customXml/itemProps3.xml><?xml version="1.0" encoding="utf-8"?>
<ds:datastoreItem xmlns:ds="http://schemas.openxmlformats.org/officeDocument/2006/customXml" ds:itemID="{3B38B19F-E7AD-4842-A1D4-75CF4313410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Leslie D. McCollam</dc:creator>
  <keywords/>
  <dc:description/>
  <lastModifiedBy>Leslie D. McCollam</lastModifiedBy>
  <revision>10</revision>
  <dcterms:created xsi:type="dcterms:W3CDTF">2021-01-07T15:39:00.0000000Z</dcterms:created>
  <dcterms:modified xsi:type="dcterms:W3CDTF">2022-02-14T19:47:22.8568134Z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0x0101007F5693AAEFBF2D4C903C50F3AFC1BCC8</vt:lpwstr>
  </property>
</Properties>
</file>